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C752" w14:textId="20B8C202" w:rsidR="00E15E7A" w:rsidRDefault="00E15E7A">
      <w:pPr>
        <w:rPr>
          <w:b/>
          <w:bCs/>
        </w:rPr>
      </w:pPr>
      <w:r>
        <w:rPr>
          <w:b/>
          <w:bCs/>
        </w:rPr>
        <w:t>Policy</w:t>
      </w:r>
    </w:p>
    <w:p w14:paraId="5AD1336C" w14:textId="43111CAB" w:rsidR="00A25457" w:rsidRDefault="00A25457">
      <w:pPr>
        <w:rPr>
          <w:b/>
          <w:bCs/>
        </w:rPr>
      </w:pPr>
    </w:p>
    <w:p w14:paraId="5970E03D" w14:textId="75E44434" w:rsidR="00A25457" w:rsidRDefault="00A25457">
      <w:pPr>
        <w:rPr>
          <w:b/>
          <w:bCs/>
        </w:rPr>
      </w:pPr>
      <w:proofErr w:type="gramStart"/>
      <w:r>
        <w:rPr>
          <w:b/>
          <w:bCs/>
        </w:rPr>
        <w:t>In an effort to</w:t>
      </w:r>
      <w:proofErr w:type="gramEnd"/>
      <w:r>
        <w:rPr>
          <w:b/>
          <w:bCs/>
        </w:rPr>
        <w:t xml:space="preserve"> ensure health care choices for residents and visitors, in accordance with state statute FS 408.823, Our assisted Living community implements a facial covering policy (mask policy. While recognizing that Florida law provides for exceptions to the business prohibitions on face coverings, this policy </w:t>
      </w:r>
      <w:proofErr w:type="gramStart"/>
      <w:r>
        <w:rPr>
          <w:b/>
          <w:bCs/>
        </w:rPr>
        <w:t>takes into account</w:t>
      </w:r>
      <w:proofErr w:type="gramEnd"/>
      <w:r>
        <w:rPr>
          <w:b/>
          <w:bCs/>
        </w:rPr>
        <w:t xml:space="preserve"> the exception provided for in law for hea</w:t>
      </w:r>
      <w:r w:rsidR="00B04C67">
        <w:rPr>
          <w:b/>
          <w:bCs/>
        </w:rPr>
        <w:t>l</w:t>
      </w:r>
      <w:r>
        <w:rPr>
          <w:b/>
          <w:bCs/>
        </w:rPr>
        <w:t xml:space="preserve">th care related facilities. It is the policy of our assisted living community to allow residents, families, and guests to have the freedom to make their own choices to live a free and unrestricted life here at </w:t>
      </w:r>
      <w:r w:rsidR="00035878">
        <w:rPr>
          <w:b/>
          <w:bCs/>
        </w:rPr>
        <w:t xml:space="preserve">Autumn House Assisted Living Facility. </w:t>
      </w:r>
      <w:r>
        <w:rPr>
          <w:b/>
          <w:bCs/>
        </w:rPr>
        <w:t xml:space="preserve"> In doing so, we will continue to provide a policy that provides for choice and independence in accordance with Florida law.</w:t>
      </w:r>
    </w:p>
    <w:p w14:paraId="5B89CB69" w14:textId="77777777" w:rsidR="00E15E7A" w:rsidRDefault="00E15E7A">
      <w:pPr>
        <w:rPr>
          <w:b/>
          <w:bCs/>
        </w:rPr>
      </w:pPr>
    </w:p>
    <w:p w14:paraId="055F699A" w14:textId="77777777" w:rsidR="00E15E7A" w:rsidRDefault="00E15E7A"/>
    <w:p w14:paraId="469EB6B3" w14:textId="5161776D" w:rsidR="00E15E7A" w:rsidRDefault="00E15E7A">
      <w:pPr>
        <w:rPr>
          <w:b/>
          <w:bCs/>
        </w:rPr>
      </w:pPr>
      <w:r>
        <w:rPr>
          <w:b/>
          <w:bCs/>
        </w:rPr>
        <w:t>Procedure</w:t>
      </w:r>
    </w:p>
    <w:p w14:paraId="70A2535C" w14:textId="77777777" w:rsidR="00E15E7A" w:rsidRDefault="00E15E7A">
      <w:pPr>
        <w:rPr>
          <w:b/>
          <w:bCs/>
        </w:rPr>
      </w:pPr>
    </w:p>
    <w:p w14:paraId="1E9D2BFF" w14:textId="64DF22FD" w:rsidR="00A25457" w:rsidRPr="00A25457" w:rsidRDefault="00A25457">
      <w:r w:rsidRPr="00A25457">
        <w:t>Facial coverings shall be required only when a resident is in a common area and exhibiting signs or symptoms and/or has been diagnosed with an infectio</w:t>
      </w:r>
      <w:r w:rsidR="00B04C67">
        <w:t>us</w:t>
      </w:r>
      <w:r w:rsidRPr="00A25457">
        <w:t xml:space="preserve"> disease that can be spread through droplet or airborne transmission. A health care practitioner and/or health care providers may choose to require a resident to wear a facial covering under the above circumstance. A common area is an area within a health care facility where residents are not treated, diagnosed, or examined. Residents must be permitted to opt-out of wearing facial coverings.</w:t>
      </w:r>
    </w:p>
    <w:p w14:paraId="56DD321F" w14:textId="1E152090" w:rsidR="00B04C67" w:rsidRPr="00A25457" w:rsidRDefault="00A25457" w:rsidP="00B04C67">
      <w:pPr>
        <w:pStyle w:val="ListParagraph"/>
        <w:numPr>
          <w:ilvl w:val="2"/>
          <w:numId w:val="1"/>
        </w:numPr>
      </w:pPr>
      <w:r w:rsidRPr="00A25457">
        <w:t>Our community may require Visitors to wear a facial covering when the visitor is:</w:t>
      </w:r>
    </w:p>
    <w:p w14:paraId="1F1C325E" w14:textId="5276C0D6" w:rsidR="00A25457" w:rsidRPr="00A25457" w:rsidRDefault="00A25457" w:rsidP="00A25457">
      <w:pPr>
        <w:pStyle w:val="ListParagraph"/>
        <w:ind w:left="2160"/>
      </w:pPr>
      <w:r w:rsidRPr="00A25457">
        <w:t>(1) exhibiting signs or symptoms of or has been diagnosed with an infectious disease that can be spread through droplet or airborne transmission,</w:t>
      </w:r>
    </w:p>
    <w:p w14:paraId="17C51472" w14:textId="77777777" w:rsidR="00A25457" w:rsidRPr="00A25457" w:rsidRDefault="00A25457" w:rsidP="00A25457">
      <w:pPr>
        <w:pStyle w:val="ListParagraph"/>
        <w:ind w:left="2160"/>
      </w:pPr>
      <w:r w:rsidRPr="00A25457">
        <w:t>(2) in a sterile area or an area where sterile procedures are being performed,</w:t>
      </w:r>
    </w:p>
    <w:p w14:paraId="7EAE1A26" w14:textId="77777777" w:rsidR="00A25457" w:rsidRPr="00A25457" w:rsidRDefault="00A25457" w:rsidP="00A25457">
      <w:pPr>
        <w:pStyle w:val="ListParagraph"/>
        <w:ind w:left="2160"/>
      </w:pPr>
      <w:r w:rsidRPr="00A25457">
        <w:t>(3) in an in-resident or clinical room with a resident who is exhibiting signs or symptoms of or has a diagnosed infectious disease that can be spread through droplet or airborne transmission, or</w:t>
      </w:r>
    </w:p>
    <w:p w14:paraId="782E219B" w14:textId="30D0A24B" w:rsidR="00A25457" w:rsidRDefault="00A25457" w:rsidP="00A25457">
      <w:pPr>
        <w:pStyle w:val="ListParagraph"/>
        <w:ind w:left="2160"/>
      </w:pPr>
      <w:r w:rsidRPr="00A25457">
        <w:t>(4) visiting a resident who has been determined to have a compromised immune system increasing their risk of infection or whose practitioner has determined a mask is necessary for the resident's safety. Visitors must be permitted to opt out of wearing a facial covering.</w:t>
      </w:r>
    </w:p>
    <w:p w14:paraId="5BE9F8F0" w14:textId="77777777" w:rsidR="00B04C67" w:rsidRPr="00A25457" w:rsidRDefault="00B04C67" w:rsidP="00A25457">
      <w:pPr>
        <w:pStyle w:val="ListParagraph"/>
        <w:ind w:left="2160"/>
      </w:pPr>
    </w:p>
    <w:p w14:paraId="1CCC369D" w14:textId="6A72634A" w:rsidR="00A25457" w:rsidRPr="00A25457" w:rsidRDefault="00A25457" w:rsidP="00A25457">
      <w:pPr>
        <w:pStyle w:val="ListParagraph"/>
        <w:numPr>
          <w:ilvl w:val="2"/>
          <w:numId w:val="1"/>
        </w:numPr>
      </w:pPr>
      <w:r w:rsidRPr="00A25457">
        <w:t>Our community may require Staff to wear to wear a facial covering when the staff is:</w:t>
      </w:r>
    </w:p>
    <w:p w14:paraId="6157EFE3" w14:textId="77777777" w:rsidR="00A25457" w:rsidRPr="00A25457" w:rsidRDefault="00A25457" w:rsidP="00A25457">
      <w:pPr>
        <w:pStyle w:val="ListParagraph"/>
        <w:ind w:left="2160"/>
      </w:pPr>
      <w:r w:rsidRPr="00A25457">
        <w:lastRenderedPageBreak/>
        <w:t>(1) exhibiting signs or symptoms of or has been diagnosed with an infectious disease that can be spread through droplet or airborne transmission,</w:t>
      </w:r>
    </w:p>
    <w:p w14:paraId="059AC2EA" w14:textId="77777777" w:rsidR="00A25457" w:rsidRPr="00A25457" w:rsidRDefault="00A25457" w:rsidP="00A25457">
      <w:pPr>
        <w:pStyle w:val="ListParagraph"/>
        <w:ind w:left="2160"/>
      </w:pPr>
      <w:r w:rsidRPr="00A25457">
        <w:t>(2) in a sterile area or an area where sterile procedures are being performed,</w:t>
      </w:r>
    </w:p>
    <w:p w14:paraId="1D34509E" w14:textId="6EEF23E6" w:rsidR="00A25457" w:rsidRPr="00A25457" w:rsidRDefault="00A25457" w:rsidP="00A25457">
      <w:pPr>
        <w:pStyle w:val="ListParagraph"/>
        <w:ind w:left="2160"/>
      </w:pPr>
      <w:r w:rsidRPr="00A25457">
        <w:t>(3) providing care in a resident or clinical room with a resident who is exhibiting signs or symptoms of or has a diagnosed infectious disease that can be spread through droplet or airborne transmission, or</w:t>
      </w:r>
    </w:p>
    <w:p w14:paraId="7B058D6B" w14:textId="59040345" w:rsidR="00A25457" w:rsidRDefault="00A25457" w:rsidP="00A25457">
      <w:pPr>
        <w:pStyle w:val="ListParagraph"/>
        <w:ind w:left="2160"/>
      </w:pPr>
      <w:r w:rsidRPr="00A25457">
        <w:t>(4) visiting a resident who has been determined to have a compromised immune system increasing their risk of infection or whose practitioner has determined a mask is necessary for the resident's safety. Visitors must be permitted to opt out of wearing a facial covering.</w:t>
      </w:r>
    </w:p>
    <w:p w14:paraId="2755DFEA" w14:textId="77777777" w:rsidR="00B04C67" w:rsidRPr="00A25457" w:rsidRDefault="00B04C67" w:rsidP="00A25457">
      <w:pPr>
        <w:pStyle w:val="ListParagraph"/>
        <w:ind w:left="2160"/>
      </w:pPr>
    </w:p>
    <w:p w14:paraId="147A22FD" w14:textId="77777777" w:rsidR="00A25457" w:rsidRDefault="00A25457" w:rsidP="00A25457">
      <w:pPr>
        <w:pStyle w:val="ListParagraph"/>
        <w:numPr>
          <w:ilvl w:val="2"/>
          <w:numId w:val="1"/>
        </w:numPr>
      </w:pPr>
      <w:r w:rsidRPr="00A25457">
        <w:t>Our community encourages assisted living residents, visitors and staff to follow the policies for facial coverings. However, state regulations allow Residents, Visitors and Staff to opt-out of wearing facial coverings. Residents are permitted to opt-out of wearing a facial covering as per the Department of Health Regulation F.S. 381.026.</w:t>
      </w:r>
    </w:p>
    <w:p w14:paraId="3F3E4813" w14:textId="77777777" w:rsidR="00B04C67" w:rsidRPr="00A25457" w:rsidRDefault="00B04C67" w:rsidP="00B04C67">
      <w:pPr>
        <w:pStyle w:val="ListParagraph"/>
        <w:ind w:left="2160"/>
      </w:pPr>
    </w:p>
    <w:p w14:paraId="66D34D37" w14:textId="69A85D37" w:rsidR="00A25457" w:rsidRPr="00A25457" w:rsidRDefault="00A25457" w:rsidP="00A25457">
      <w:pPr>
        <w:pStyle w:val="ListParagraph"/>
        <w:numPr>
          <w:ilvl w:val="2"/>
          <w:numId w:val="1"/>
        </w:numPr>
      </w:pPr>
      <w:r w:rsidRPr="00A25457">
        <w:t xml:space="preserve">The Patient Bill of Rights are applicable, which includes consideration for: </w:t>
      </w:r>
    </w:p>
    <w:p w14:paraId="6C38A2A3" w14:textId="5EFB3955" w:rsidR="00A25457" w:rsidRPr="00A25457" w:rsidRDefault="00A25457" w:rsidP="00A25457">
      <w:pPr>
        <w:pStyle w:val="ListParagraph"/>
        <w:ind w:left="2160"/>
      </w:pPr>
      <w:r w:rsidRPr="00A25457">
        <w:t>(1) the resident's right to make decision in an informed manner,</w:t>
      </w:r>
    </w:p>
    <w:p w14:paraId="53C436EF" w14:textId="21A1E251" w:rsidR="00A25457" w:rsidRPr="00A25457" w:rsidRDefault="00A25457" w:rsidP="00A25457">
      <w:pPr>
        <w:pStyle w:val="ListParagraph"/>
        <w:ind w:left="2160"/>
      </w:pPr>
      <w:r w:rsidRPr="00A25457">
        <w:t>(2) the resident's right to have their individual dignity respected, and their responsibility to respect the reasonable and responsible expectations of the provider or facility.</w:t>
      </w:r>
    </w:p>
    <w:p w14:paraId="297C4212" w14:textId="77777777" w:rsidR="00A25457" w:rsidRDefault="00A25457" w:rsidP="00A25457">
      <w:pPr>
        <w:pStyle w:val="ListParagraph"/>
        <w:ind w:left="2160"/>
      </w:pPr>
      <w:r w:rsidRPr="00A25457">
        <w:t>(3) The resident's right to file a complaint with the appropriate agencies.</w:t>
      </w:r>
    </w:p>
    <w:p w14:paraId="2D5ADAAD" w14:textId="77777777" w:rsidR="00B04C67" w:rsidRPr="00A25457" w:rsidRDefault="00B04C67" w:rsidP="00A25457">
      <w:pPr>
        <w:pStyle w:val="ListParagraph"/>
        <w:ind w:left="2160"/>
      </w:pPr>
    </w:p>
    <w:p w14:paraId="1EFF7ED0" w14:textId="31875280" w:rsidR="00A25457" w:rsidRDefault="00A25457" w:rsidP="00A25457">
      <w:pPr>
        <w:pStyle w:val="ListParagraph"/>
        <w:numPr>
          <w:ilvl w:val="2"/>
          <w:numId w:val="1"/>
        </w:numPr>
      </w:pPr>
      <w:r w:rsidRPr="00A25457">
        <w:t>Our community posts a complaints poster in the common area and is included in the admission package.</w:t>
      </w:r>
    </w:p>
    <w:p w14:paraId="0E5E4FD2" w14:textId="77777777" w:rsidR="00B04C67" w:rsidRPr="00A25457" w:rsidRDefault="00B04C67" w:rsidP="00B04C67">
      <w:pPr>
        <w:pStyle w:val="ListParagraph"/>
        <w:ind w:left="2160"/>
      </w:pPr>
    </w:p>
    <w:p w14:paraId="1B97D07A" w14:textId="26A102EB" w:rsidR="00A25457" w:rsidRPr="00A25457" w:rsidRDefault="00A25457" w:rsidP="00A25457">
      <w:pPr>
        <w:pStyle w:val="ListParagraph"/>
        <w:numPr>
          <w:ilvl w:val="2"/>
          <w:numId w:val="1"/>
        </w:numPr>
      </w:pPr>
      <w:r w:rsidRPr="00A25457">
        <w:t>Our community offers alternatives to facial coverings, which may include social distancing, outdoor visitation, transparent physical barriers, or other alternative types of facial covering.</w:t>
      </w:r>
    </w:p>
    <w:p w14:paraId="4D54DB0A" w14:textId="2E3F6C53" w:rsidR="00A25457" w:rsidRPr="00A25457" w:rsidRDefault="00A25457" w:rsidP="00A25457">
      <w:pPr>
        <w:pStyle w:val="ListParagraph"/>
        <w:numPr>
          <w:ilvl w:val="3"/>
          <w:numId w:val="1"/>
        </w:numPr>
      </w:pPr>
      <w:proofErr w:type="spellStart"/>
      <w:r w:rsidRPr="00A25457">
        <w:t>Opt</w:t>
      </w:r>
      <w:proofErr w:type="spellEnd"/>
      <w:r w:rsidRPr="00A25457">
        <w:t xml:space="preserve"> Out Provisions for Facial Coverings or masks:</w:t>
      </w:r>
    </w:p>
    <w:p w14:paraId="6808923D" w14:textId="73466D5B" w:rsidR="00A25457" w:rsidRPr="00A25457" w:rsidRDefault="00A25457" w:rsidP="00A25457">
      <w:pPr>
        <w:pStyle w:val="ListParagraph"/>
        <w:numPr>
          <w:ilvl w:val="4"/>
          <w:numId w:val="1"/>
        </w:numPr>
      </w:pPr>
      <w:r w:rsidRPr="00A25457">
        <w:t>Residents at our community can opt-out of wearing a facial covering.</w:t>
      </w:r>
    </w:p>
    <w:p w14:paraId="37E0B45F" w14:textId="5C74F46A" w:rsidR="00A25457" w:rsidRPr="00A25457" w:rsidRDefault="00A25457" w:rsidP="00A25457">
      <w:pPr>
        <w:pStyle w:val="ListParagraph"/>
        <w:numPr>
          <w:ilvl w:val="4"/>
          <w:numId w:val="1"/>
        </w:numPr>
      </w:pPr>
      <w:r w:rsidRPr="00A25457">
        <w:t>Visitors in our community can opt-out of wearing a facial covering if an alternative method of infection control or infectious disease prevention is available.</w:t>
      </w:r>
    </w:p>
    <w:p w14:paraId="393E1065" w14:textId="5FAB21BA" w:rsidR="00A25457" w:rsidRDefault="00A25457" w:rsidP="00A25457">
      <w:pPr>
        <w:pStyle w:val="ListParagraph"/>
        <w:numPr>
          <w:ilvl w:val="4"/>
          <w:numId w:val="1"/>
        </w:numPr>
      </w:pPr>
      <w:r w:rsidRPr="00A25457">
        <w:lastRenderedPageBreak/>
        <w:t>An employee of our community shall be allowed to opt-out of facial covering requirements unless the employee is involved in the situations listed above in section ii.</w:t>
      </w:r>
    </w:p>
    <w:p w14:paraId="62CB8D4E" w14:textId="77777777" w:rsidR="00B04C67" w:rsidRPr="00A25457" w:rsidRDefault="00B04C67" w:rsidP="00B04C67">
      <w:pPr>
        <w:pStyle w:val="ListParagraph"/>
        <w:ind w:left="3600"/>
      </w:pPr>
    </w:p>
    <w:p w14:paraId="18990600" w14:textId="22D8DE32" w:rsidR="00A25457" w:rsidRPr="00A25457" w:rsidRDefault="00A25457" w:rsidP="00A25457">
      <w:pPr>
        <w:pStyle w:val="ListParagraph"/>
        <w:numPr>
          <w:ilvl w:val="2"/>
          <w:numId w:val="1"/>
        </w:numPr>
      </w:pPr>
      <w:r w:rsidRPr="00A25457">
        <w:t>Common definitions used in this policy:</w:t>
      </w:r>
    </w:p>
    <w:p w14:paraId="0F123088" w14:textId="27569948" w:rsidR="00A25457" w:rsidRPr="00A25457" w:rsidRDefault="00A25457" w:rsidP="00A25457">
      <w:pPr>
        <w:pStyle w:val="ListParagraph"/>
        <w:numPr>
          <w:ilvl w:val="3"/>
          <w:numId w:val="1"/>
        </w:numPr>
      </w:pPr>
      <w:r w:rsidRPr="00A25457">
        <w:t>Employee- refers to any person under employment or contract of a health care setting, including health care practitioners, administrative staff, maintenance staff, aides, contractors, students, and volunteers.</w:t>
      </w:r>
    </w:p>
    <w:p w14:paraId="6C956FD3" w14:textId="1EBA5BB1" w:rsidR="00A25457" w:rsidRPr="00A25457" w:rsidRDefault="00A25457" w:rsidP="00A25457">
      <w:pPr>
        <w:pStyle w:val="ListParagraph"/>
        <w:numPr>
          <w:ilvl w:val="3"/>
          <w:numId w:val="1"/>
        </w:numPr>
      </w:pPr>
      <w:r w:rsidRPr="00A25457">
        <w:t xml:space="preserve">Health Care setting- refers to any place where health care practitioners and/or health care providers practice their profession or provide </w:t>
      </w:r>
      <w:proofErr w:type="gramStart"/>
      <w:r w:rsidRPr="00A25457">
        <w:t>services</w:t>
      </w:r>
      <w:proofErr w:type="gramEnd"/>
    </w:p>
    <w:p w14:paraId="69014231" w14:textId="2D29AA49" w:rsidR="00A25457" w:rsidRPr="00A25457" w:rsidRDefault="00A25457" w:rsidP="00A25457">
      <w:pPr>
        <w:pStyle w:val="ListParagraph"/>
        <w:numPr>
          <w:ilvl w:val="3"/>
          <w:numId w:val="1"/>
        </w:numPr>
      </w:pPr>
      <w:r w:rsidRPr="00A25457">
        <w:t xml:space="preserve">Resident- refers to a person receiving services from a health care practitioner or health care </w:t>
      </w:r>
      <w:proofErr w:type="gramStart"/>
      <w:r w:rsidRPr="00A25457">
        <w:t>provider</w:t>
      </w:r>
      <w:proofErr w:type="gramEnd"/>
    </w:p>
    <w:p w14:paraId="04B4E7FC" w14:textId="09E11D56" w:rsidR="00A25457" w:rsidRPr="00A25457" w:rsidRDefault="00A25457" w:rsidP="00A25457">
      <w:pPr>
        <w:pStyle w:val="ListParagraph"/>
        <w:numPr>
          <w:ilvl w:val="3"/>
          <w:numId w:val="1"/>
        </w:numPr>
      </w:pPr>
      <w:r w:rsidRPr="00A25457">
        <w:t>Sterile areas- refers to locations where surgery is conducted or where procedures that require aseptic techniques are performed.</w:t>
      </w:r>
    </w:p>
    <w:p w14:paraId="5A05834E" w14:textId="7FA394D0" w:rsidR="00A25457" w:rsidRPr="00A25457" w:rsidRDefault="00A25457" w:rsidP="00A25457">
      <w:pPr>
        <w:pStyle w:val="ListParagraph"/>
        <w:numPr>
          <w:ilvl w:val="3"/>
          <w:numId w:val="1"/>
        </w:numPr>
      </w:pPr>
      <w:r w:rsidRPr="00A25457">
        <w:t>Visitor- refers to a person in a health care setting who is not an employee or resident of the health care setting.</w:t>
      </w:r>
    </w:p>
    <w:p w14:paraId="4DDFEE88" w14:textId="2E77B861" w:rsidR="00A25457" w:rsidRPr="00A25457" w:rsidRDefault="00A25457" w:rsidP="00A25457">
      <w:pPr>
        <w:pStyle w:val="ListParagraph"/>
        <w:numPr>
          <w:ilvl w:val="3"/>
          <w:numId w:val="1"/>
        </w:numPr>
      </w:pPr>
      <w:r w:rsidRPr="00A25457">
        <w:t>Provider- means any activity, service, agency, or facility regulated by the agency and listed in 408.802FS</w:t>
      </w:r>
    </w:p>
    <w:sectPr w:rsidR="00A25457" w:rsidRPr="00A2545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C57A" w14:textId="77777777" w:rsidR="00A20242" w:rsidRDefault="00A20242" w:rsidP="00DB22D6">
      <w:r>
        <w:separator/>
      </w:r>
    </w:p>
  </w:endnote>
  <w:endnote w:type="continuationSeparator" w:id="0">
    <w:p w14:paraId="6221B90E" w14:textId="77777777" w:rsidR="00A20242" w:rsidRDefault="00A20242" w:rsidP="00DB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71008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1A7351" w14:textId="7D7ECB22" w:rsidR="00DB22D6" w:rsidRDefault="00DB22D6" w:rsidP="00AE22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26305E" w14:textId="77777777" w:rsidR="00DB22D6" w:rsidRDefault="00DB22D6" w:rsidP="00DB22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33983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4A0C29" w14:textId="271C20D6" w:rsidR="00DB22D6" w:rsidRDefault="00DB22D6" w:rsidP="00AE22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56226D3" w14:textId="4FC17A15" w:rsidR="00DB22D6" w:rsidRDefault="00DB22D6" w:rsidP="00DB22D6">
    <w:pPr>
      <w:pStyle w:val="Footer"/>
      <w:ind w:right="360"/>
    </w:pPr>
    <w:r>
      <w:t xml:space="preserve">Admin Policy- </w:t>
    </w:r>
    <w:r w:rsidR="00A25457">
      <w:t>Facial Covering Policy</w:t>
    </w:r>
  </w:p>
  <w:p w14:paraId="6B5CBA07" w14:textId="77777777" w:rsidR="00DB22D6" w:rsidRDefault="00DB2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77C64" w14:textId="77777777" w:rsidR="00A20242" w:rsidRDefault="00A20242" w:rsidP="00DB22D6">
      <w:r>
        <w:separator/>
      </w:r>
    </w:p>
  </w:footnote>
  <w:footnote w:type="continuationSeparator" w:id="0">
    <w:p w14:paraId="694F2EEB" w14:textId="77777777" w:rsidR="00A20242" w:rsidRDefault="00A20242" w:rsidP="00DB2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CED8" w14:textId="07848072" w:rsidR="0065751B" w:rsidRDefault="0065751B">
    <w:pPr>
      <w:pStyle w:val="Header"/>
    </w:pPr>
  </w:p>
  <w:tbl>
    <w:tblPr>
      <w:tblStyle w:val="TableGrid"/>
      <w:tblpPr w:leftFromText="180" w:rightFromText="180" w:vertAnchor="text" w:horzAnchor="margin" w:tblpY="-148"/>
      <w:tblW w:w="0" w:type="auto"/>
      <w:tblLook w:val="04A0" w:firstRow="1" w:lastRow="0" w:firstColumn="1" w:lastColumn="0" w:noHBand="0" w:noVBand="1"/>
    </w:tblPr>
    <w:tblGrid>
      <w:gridCol w:w="2065"/>
      <w:gridCol w:w="7285"/>
    </w:tblGrid>
    <w:tr w:rsidR="0065751B" w14:paraId="7C844877" w14:textId="77777777" w:rsidTr="0065751B">
      <w:tc>
        <w:tcPr>
          <w:tcW w:w="2065" w:type="dxa"/>
          <w:shd w:val="clear" w:color="auto" w:fill="000000" w:themeFill="text1"/>
        </w:tcPr>
        <w:p w14:paraId="000A75D7" w14:textId="77777777" w:rsidR="0065751B" w:rsidRDefault="0065751B" w:rsidP="0065751B">
          <w:pPr>
            <w:rPr>
              <w:color w:val="FFFFFF" w:themeColor="background1"/>
            </w:rPr>
          </w:pPr>
        </w:p>
        <w:p w14:paraId="02FEF70D" w14:textId="2C576949" w:rsidR="0065751B" w:rsidRPr="00E15E7A" w:rsidRDefault="0065751B" w:rsidP="0065751B">
          <w:pPr>
            <w:rPr>
              <w:color w:val="FFFFFF" w:themeColor="background1"/>
            </w:rPr>
          </w:pPr>
          <w:r>
            <w:rPr>
              <w:color w:val="FFFFFF" w:themeColor="background1"/>
            </w:rPr>
            <w:t>Policy- Admin</w:t>
          </w:r>
        </w:p>
      </w:tc>
      <w:tc>
        <w:tcPr>
          <w:tcW w:w="7285" w:type="dxa"/>
        </w:tcPr>
        <w:p w14:paraId="1C643A8B" w14:textId="5E20F524" w:rsidR="0065751B" w:rsidRDefault="00D72B5B" w:rsidP="0065751B">
          <w:pPr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8C60F2" wp14:editId="182D8E4F">
                <wp:simplePos x="0" y="0"/>
                <wp:positionH relativeFrom="column">
                  <wp:posOffset>3214370</wp:posOffset>
                </wp:positionH>
                <wp:positionV relativeFrom="paragraph">
                  <wp:posOffset>120650</wp:posOffset>
                </wp:positionV>
                <wp:extent cx="1276350" cy="462915"/>
                <wp:effectExtent l="0" t="0" r="0" b="0"/>
                <wp:wrapNone/>
                <wp:docPr id="853488091" name="Picture 1" descr="A logo with text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3488091" name="Picture 1" descr="A logo with text on i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462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A58676C" w14:textId="0E549691" w:rsidR="0065751B" w:rsidRPr="00E15E7A" w:rsidRDefault="0065751B" w:rsidP="0065751B">
          <w:pPr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E418842" wp14:editId="4E20984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68400" cy="656590"/>
                <wp:effectExtent l="0" t="0" r="0" b="0"/>
                <wp:wrapSquare wrapText="bothSides"/>
                <wp:docPr id="400103856" name="Picture 4" descr="A picture containing font, text, logo,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0103856" name="Picture 4" descr="A picture containing font, text, logo, graphics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00" cy="656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25457">
            <w:rPr>
              <w:b/>
              <w:bCs/>
            </w:rPr>
            <w:t>Facial Covering Policy</w:t>
          </w:r>
        </w:p>
      </w:tc>
    </w:tr>
    <w:tr w:rsidR="0065751B" w14:paraId="0046FD28" w14:textId="77777777" w:rsidTr="0065751B">
      <w:tc>
        <w:tcPr>
          <w:tcW w:w="2065" w:type="dxa"/>
          <w:shd w:val="clear" w:color="auto" w:fill="000000" w:themeFill="text1"/>
        </w:tcPr>
        <w:p w14:paraId="79DCF0D5" w14:textId="77777777" w:rsidR="0065751B" w:rsidRPr="00E15E7A" w:rsidRDefault="0065751B" w:rsidP="0065751B">
          <w:pPr>
            <w:rPr>
              <w:color w:val="FFFFFF" w:themeColor="background1"/>
            </w:rPr>
          </w:pPr>
        </w:p>
      </w:tc>
      <w:tc>
        <w:tcPr>
          <w:tcW w:w="7285" w:type="dxa"/>
        </w:tcPr>
        <w:p w14:paraId="2C1016CA" w14:textId="37CAF45C" w:rsidR="0065751B" w:rsidRDefault="0065751B" w:rsidP="0065751B">
          <w:r>
            <w:t>Required Standard</w:t>
          </w:r>
        </w:p>
      </w:tc>
    </w:tr>
  </w:tbl>
  <w:p w14:paraId="37F667F5" w14:textId="77777777" w:rsidR="0065751B" w:rsidRDefault="00657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3052"/>
    <w:multiLevelType w:val="hybridMultilevel"/>
    <w:tmpl w:val="B5E007FE"/>
    <w:lvl w:ilvl="0" w:tplc="6C9E4D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83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7A"/>
    <w:rsid w:val="00035878"/>
    <w:rsid w:val="001F1E89"/>
    <w:rsid w:val="005E4119"/>
    <w:rsid w:val="0065751B"/>
    <w:rsid w:val="00697AF3"/>
    <w:rsid w:val="00853E6B"/>
    <w:rsid w:val="00A20242"/>
    <w:rsid w:val="00A25457"/>
    <w:rsid w:val="00B04C67"/>
    <w:rsid w:val="00D72B5B"/>
    <w:rsid w:val="00DB22D6"/>
    <w:rsid w:val="00E15E7A"/>
    <w:rsid w:val="00E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367CC"/>
  <w15:chartTrackingRefBased/>
  <w15:docId w15:val="{6CBC463D-C4A1-C041-8E26-3A25348F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2D6"/>
  </w:style>
  <w:style w:type="paragraph" w:styleId="Footer">
    <w:name w:val="footer"/>
    <w:basedOn w:val="Normal"/>
    <w:link w:val="FooterChar"/>
    <w:uiPriority w:val="99"/>
    <w:unhideWhenUsed/>
    <w:rsid w:val="00DB2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2D6"/>
  </w:style>
  <w:style w:type="character" w:styleId="PageNumber">
    <w:name w:val="page number"/>
    <w:basedOn w:val="DefaultParagraphFont"/>
    <w:uiPriority w:val="99"/>
    <w:semiHidden/>
    <w:unhideWhenUsed/>
    <w:rsid w:val="00DB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Clark</dc:creator>
  <cp:keywords/>
  <dc:description/>
  <cp:lastModifiedBy>Melissa Alonso</cp:lastModifiedBy>
  <cp:revision>2</cp:revision>
  <dcterms:created xsi:type="dcterms:W3CDTF">2023-08-30T15:07:00Z</dcterms:created>
  <dcterms:modified xsi:type="dcterms:W3CDTF">2023-08-30T15:07:00Z</dcterms:modified>
</cp:coreProperties>
</file>